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9F" w:rsidRDefault="00E04331" w:rsidP="00DD469F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DD469F">
        <w:rPr>
          <w:rFonts w:ascii="Times New Roman" w:hAnsi="Times New Roman" w:cs="Times New Roman"/>
          <w:sz w:val="32"/>
          <w:szCs w:val="32"/>
        </w:rPr>
        <w:t xml:space="preserve">КРИТЕРІЇ ОЦІНЮВАННЯ НАВЧАЛЬНИХ </w:t>
      </w:r>
    </w:p>
    <w:p w:rsidR="00E04331" w:rsidRPr="00DD469F" w:rsidRDefault="00E04331" w:rsidP="00DD469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469F">
        <w:rPr>
          <w:rFonts w:ascii="Times New Roman" w:hAnsi="Times New Roman" w:cs="Times New Roman"/>
          <w:sz w:val="32"/>
          <w:szCs w:val="32"/>
        </w:rPr>
        <w:t>ДОСЯГНЕНЬ УЧНІВ З ФІЗИКИ</w:t>
      </w:r>
    </w:p>
    <w:p w:rsidR="00E04331" w:rsidRPr="0000071C" w:rsidRDefault="00677A16" w:rsidP="0000071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sz w:val="24"/>
          <w:szCs w:val="24"/>
          <w:lang w:val="uk-UA"/>
        </w:rPr>
        <w:t>Оцінюванню підлягає:</w:t>
      </w:r>
    </w:p>
    <w:p w:rsidR="00E04331" w:rsidRPr="0000071C" w:rsidRDefault="00E04331" w:rsidP="0000071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1) </w:t>
      </w:r>
      <w:r w:rsid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рівень 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волод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ння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теоретичними знаннями, що їх можна виявити п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д час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усного чи письмового опитування, тестування;</w:t>
      </w:r>
      <w:r w:rsidRPr="0000071C">
        <w:rPr>
          <w:rFonts w:ascii="Times New Roman" w:hAnsi="Times New Roman" w:cs="Times New Roman"/>
          <w:color w:val="111111"/>
          <w:sz w:val="24"/>
          <w:szCs w:val="24"/>
          <w:lang w:val="uk-UA"/>
        </w:rPr>
        <w:br/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2) р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вень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ум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нь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використовувати 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теоретичн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знання п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д час розв’язування задач р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зного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типу (розрахункових, експериментальних, як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сних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);</w:t>
      </w:r>
      <w:r w:rsidRPr="0000071C">
        <w:rPr>
          <w:rFonts w:ascii="Times New Roman" w:hAnsi="Times New Roman" w:cs="Times New Roman"/>
          <w:color w:val="111111"/>
          <w:sz w:val="24"/>
          <w:szCs w:val="24"/>
          <w:lang w:val="uk-UA"/>
        </w:rPr>
        <w:br/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3) р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вень</w:t>
      </w:r>
      <w:proofErr w:type="spellEnd"/>
      <w:r w:rsidR="00DD46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волод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ння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практичними ум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ннями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та навичками, що їх можна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виявити п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д час виконання лабораторних роб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т 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ф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зичного практикуму;</w:t>
      </w:r>
      <w:r w:rsidRPr="0000071C">
        <w:rPr>
          <w:rFonts w:ascii="Times New Roman" w:hAnsi="Times New Roman" w:cs="Times New Roman"/>
          <w:color w:val="111111"/>
          <w:sz w:val="24"/>
          <w:szCs w:val="24"/>
          <w:lang w:val="uk-UA"/>
        </w:rPr>
        <w:br/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4) 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зм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ст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як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сть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творчих роб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т </w:t>
      </w:r>
      <w:proofErr w:type="spellStart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учн</w:t>
      </w:r>
      <w:proofErr w:type="spellEnd"/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 (реферат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в, творчих експериментальних роб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т, виготовлення прилад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в, комп’ютерне моделювання ф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зичних процес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000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тощо).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Об’єктами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оцiнювання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є знання та </w:t>
      </w:r>
      <w:r w:rsidR="0000071C">
        <w:rPr>
          <w:rFonts w:ascii="Times New Roman" w:hAnsi="Times New Roman" w:cs="Times New Roman"/>
          <w:sz w:val="24"/>
          <w:szCs w:val="24"/>
          <w:lang w:val="uk-UA"/>
        </w:rPr>
        <w:t xml:space="preserve">вміння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учнiв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рiвень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їхнього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фiзичного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мислення. 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Пiд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час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оцiнювання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враховуються знання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учнiв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про: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фiзичнi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явища i процеси: ознаки явища чи процесу, за якими вони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вiдбуваються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зв’язок явища чи процесу з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iншими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їх пояснення на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основi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наукової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теорiї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>, приклади використання;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DD469F">
        <w:rPr>
          <w:rFonts w:ascii="Times New Roman" w:hAnsi="Times New Roman" w:cs="Times New Roman"/>
          <w:sz w:val="24"/>
          <w:szCs w:val="24"/>
          <w:lang w:val="uk-UA"/>
        </w:rPr>
        <w:t xml:space="preserve">фізичні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дослiди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та спостереження: мета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дослiду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чи спостереження, схема, умови, за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наявностi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яких </w:t>
      </w:r>
      <w:r w:rsidR="00DD469F"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дослiд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чи спостереження,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перебiг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i результати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дослiду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чи спостереження;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фiзичнi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величини: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властивостi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що характеризуються цим поняттям (величиною), зв’язок з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iншими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величинами (формула), означення величини,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одиницi</w:t>
      </w:r>
      <w:proofErr w:type="spellEnd"/>
      <w:r w:rsidR="00DD46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фiзичної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величини, способи її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вимiрювання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— закони: формулювання та математичний вираз закону;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дослiди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пiдтверджують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його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справедливiсть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приклади врахування i застосування його на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практицi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межi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застосування, умови застосування (для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учнiв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старшої школи);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DD469F">
        <w:rPr>
          <w:rFonts w:ascii="Times New Roman" w:hAnsi="Times New Roman" w:cs="Times New Roman"/>
          <w:sz w:val="24"/>
          <w:szCs w:val="24"/>
          <w:lang w:val="uk-UA"/>
        </w:rPr>
        <w:t xml:space="preserve">фізичні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теорiї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дослiдне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обґрунтування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теорiї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основнi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положення, закони i принципи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цiєїтеорiї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основнiнаслiдки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практичнi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межi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цiєїтеорiї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(для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учнiв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старшої школи);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— прилади чи пристрої,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механiзми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i машини,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технологiї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: призначення, принцип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та схема будови; застосування i правила користування, переваги та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недолiки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sz w:val="24"/>
          <w:szCs w:val="24"/>
          <w:lang w:val="uk-UA"/>
        </w:rPr>
        <w:t>Навчальні досягнення учнів характеризуються за такими рівнями: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І. Початковий </w:t>
      </w:r>
      <w:proofErr w:type="spellStart"/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рiвень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вiдповiдь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учня при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вiдтвореннi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матерiалу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елементарна, фрагментарна, зумовлена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нечiткими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уявленнями про предмети i явища;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дiяльнiсть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учня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здiйснюєтьсяпiдкерiвництвом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учителя.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 xml:space="preserve">ІІ. </w:t>
      </w:r>
      <w:proofErr w:type="spellStart"/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Середнiйрiвень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: знання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неповнi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поверховi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учень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вiдтворює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основний навчальний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матерiал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але недостатньо осмислено, має проблеми з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аналiзуванням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та формулюванням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висновкiв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>; здатний виконувати завдання за зразком.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ІІІ. </w:t>
      </w:r>
      <w:proofErr w:type="spellStart"/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Достатнiй</w:t>
      </w:r>
      <w:proofErr w:type="spellEnd"/>
      <w:r w:rsid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рiвень</w:t>
      </w:r>
      <w:proofErr w:type="spellEnd"/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учень знає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iстотнi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ознаки понять, явищ,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закономiрностей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зв’язки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мiж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ними,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самостiйно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застосовує знання у стандартних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ситуацiях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умiєаналiзувати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робити висновки, виправляти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допущенi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помилки.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Вiдповiдь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учня повна,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логiчна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обґрунтована;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розумiння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пов’язане з одиничними образами, не узагальнене.</w:t>
      </w:r>
    </w:p>
    <w:p w:rsidR="00E04331" w:rsidRPr="0000071C" w:rsidRDefault="00E04331" w:rsidP="000007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IV. Високий </w:t>
      </w:r>
      <w:proofErr w:type="spellStart"/>
      <w:r w:rsidRPr="000007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рiвень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: учень має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глибокi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мiцнi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узагальненi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знання про предмети, явища, поняття,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теорiї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, їхні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суттєвi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ознаки та зв’язок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останнiх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iншими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 xml:space="preserve"> поняттями; здатний використовувати знання як у стандартних, так i в нестандартних </w:t>
      </w:r>
      <w:proofErr w:type="spellStart"/>
      <w:r w:rsidRPr="0000071C">
        <w:rPr>
          <w:rFonts w:ascii="Times New Roman" w:hAnsi="Times New Roman" w:cs="Times New Roman"/>
          <w:sz w:val="24"/>
          <w:szCs w:val="24"/>
          <w:lang w:val="uk-UA"/>
        </w:rPr>
        <w:t>ситуацiях</w:t>
      </w:r>
      <w:proofErr w:type="spellEnd"/>
      <w:r w:rsidRPr="000007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469F" w:rsidRDefault="00E04331" w:rsidP="00DD469F">
      <w:pPr>
        <w:ind w:firstLine="70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  <w:t xml:space="preserve">КРИТЕРІЇ ОЦІНЮВАННЯ РІВНЯ ВОЛОДІННЯ УЧНЯМИ </w:t>
      </w:r>
    </w:p>
    <w:p w:rsidR="00E04331" w:rsidRPr="0000071C" w:rsidRDefault="00E04331" w:rsidP="00DD469F">
      <w:pPr>
        <w:ind w:firstLine="70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  <w:t>ТЕОРЕТИЧНИМИ ЗНАННЯМИ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3"/>
        <w:gridCol w:w="1378"/>
        <w:gridCol w:w="5657"/>
      </w:tblGrid>
      <w:tr w:rsidR="00CA234B" w:rsidRPr="0000071C" w:rsidTr="00CA234B">
        <w:tc>
          <w:tcPr>
            <w:tcW w:w="2660" w:type="dxa"/>
          </w:tcPr>
          <w:p w:rsidR="00E04331" w:rsidRPr="0000071C" w:rsidRDefault="00E04331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Рівні навчальних досягнень</w:t>
            </w:r>
          </w:p>
        </w:tc>
        <w:tc>
          <w:tcPr>
            <w:tcW w:w="1417" w:type="dxa"/>
          </w:tcPr>
          <w:p w:rsidR="00E04331" w:rsidRPr="0000071C" w:rsidRDefault="00E04331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5777" w:type="dxa"/>
          </w:tcPr>
          <w:p w:rsidR="00E04331" w:rsidRPr="0000071C" w:rsidRDefault="00E04331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оцінювання навчальних досягнень</w:t>
            </w:r>
          </w:p>
        </w:tc>
      </w:tr>
      <w:tr w:rsidR="00CA234B" w:rsidRPr="0000071C" w:rsidTr="00CA234B">
        <w:tc>
          <w:tcPr>
            <w:tcW w:w="2660" w:type="dxa"/>
            <w:vMerge w:val="restart"/>
            <w:vAlign w:val="center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Учень (учениця) володієнавчальнимматеріалом на рівнірозпізнаванняявищприроди, з допомогоювчителявідповідає на запитання, щопотребуютьвідповіді «так» чи «ні»</w:t>
            </w:r>
          </w:p>
        </w:tc>
      </w:tr>
      <w:tr w:rsidR="00CA234B" w:rsidRPr="0000071C" w:rsidTr="00CA234B">
        <w:trPr>
          <w:trHeight w:val="77"/>
        </w:trPr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описує природні явища на основі свого попереднього досвіду, з допомогою вчителя відповідає на запитання, що потребують однослівної відповіді</w:t>
            </w:r>
          </w:p>
        </w:tc>
      </w:tr>
      <w:tr w:rsidR="00CA234B" w:rsidRPr="0000071C" w:rsidTr="00CA234B"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(учениця) з допомогою вчителя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зв'язно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описує явище або його частини без пояснень відповідних причин, називає фізичні чи астрономічні явища, розрізняє буквені позначення окремих фізичних чи астрономічних величин</w:t>
            </w:r>
          </w:p>
        </w:tc>
      </w:tr>
      <w:tr w:rsidR="00CA234B" w:rsidRPr="0000071C" w:rsidTr="00CA234B">
        <w:tc>
          <w:tcPr>
            <w:tcW w:w="2660" w:type="dxa"/>
            <w:vMerge w:val="restart"/>
            <w:vAlign w:val="center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з допомогою вчителя описує явища, без пояснень наводить приклади, що ґрунтуються на його власних спостереженнях чи матеріалі підручника, розповідях учителя тощо</w:t>
            </w:r>
          </w:p>
        </w:tc>
      </w:tr>
      <w:tr w:rsidR="00CA234B" w:rsidRPr="0000071C" w:rsidTr="00CA234B"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описує явища, відтворює значну частину навчального матеріалу, знає одиниці вимірювання окремих фізичних чи астрономічних величин і формули з теми, що вивчається</w:t>
            </w:r>
          </w:p>
        </w:tc>
      </w:tr>
      <w:tr w:rsidR="00CA234B" w:rsidRPr="0000071C" w:rsidTr="00CA234B"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може зі сторонньою допомогою пояснювати явища, виправляти допущені неточності (власні, інших учнів), виявляє елементарні знання основних положень (законів, понять, формул)</w:t>
            </w:r>
          </w:p>
        </w:tc>
      </w:tr>
      <w:tr w:rsidR="00CA234B" w:rsidRPr="0000071C" w:rsidTr="00CA234B">
        <w:tc>
          <w:tcPr>
            <w:tcW w:w="2660" w:type="dxa"/>
            <w:vMerge w:val="restart"/>
            <w:vAlign w:val="center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може пояснювати явища, виправляти допущені неточності, виявляє знання і розуміння основних положень (законів, понять, формул, теорій)</w:t>
            </w:r>
          </w:p>
        </w:tc>
      </w:tr>
      <w:tr w:rsidR="00CA234B" w:rsidRPr="0000071C" w:rsidTr="00CA234B"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уміє пояснювати явища, аналізувати, узагальнювати знання, систематизувати їх, зі сторонньою допомогою (вчителя, однокласників тощо) робити висновки</w:t>
            </w:r>
          </w:p>
        </w:tc>
      </w:tr>
      <w:tr w:rsidR="00CA234B" w:rsidRPr="0000071C" w:rsidTr="00CA234B"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вільно та оперативно володіє вивченим матеріалом у стандартних ситуаціях, наводить приклади його практичного застосування та аргументи на підтвердження власних думок</w:t>
            </w:r>
          </w:p>
        </w:tc>
      </w:tr>
      <w:tr w:rsidR="00CA234B" w:rsidRPr="0000071C" w:rsidTr="00CA234B">
        <w:tc>
          <w:tcPr>
            <w:tcW w:w="2660" w:type="dxa"/>
            <w:vMerge w:val="restart"/>
            <w:vAlign w:val="center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Високий</w:t>
            </w: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вільно володіє вивченим матеріалом, уміло використовує наукову термінологію, вміє опрацьовувати наукову інформацію: знаходити нові факти, явища, ідеї, самостійно використовувати їх відповідно до поставленої мети</w:t>
            </w:r>
          </w:p>
        </w:tc>
      </w:tr>
      <w:tr w:rsidR="00CA234B" w:rsidRPr="0000071C" w:rsidTr="00CA234B"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на високому рівні опанував програмовий матеріал, самостійно, у межах чинної програми, оцінює різноманітні явища, факти, теорії, використовує здобуті знання і вміння в нестандартних ситуаціях, поглиблює набуті знання</w:t>
            </w:r>
          </w:p>
        </w:tc>
      </w:tr>
      <w:tr w:rsidR="00CA234B" w:rsidRPr="0000071C" w:rsidTr="00CA234B">
        <w:tc>
          <w:tcPr>
            <w:tcW w:w="2660" w:type="dxa"/>
            <w:vMerge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77" w:type="dxa"/>
          </w:tcPr>
          <w:p w:rsidR="00CA234B" w:rsidRPr="0000071C" w:rsidRDefault="00CA234B" w:rsidP="0000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має системні знання, виявляє здібності до прийняття  рішень, уміє аналізувати природні явища і  робить відповідні висновки й узагальнення, уміє знаходити й аналізувати додаткову інформацію</w:t>
            </w:r>
          </w:p>
        </w:tc>
      </w:tr>
    </w:tbl>
    <w:p w:rsidR="005900B9" w:rsidRPr="0000071C" w:rsidRDefault="005540C0" w:rsidP="00DD469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hyperlink r:id="rId5" w:history="1">
        <w:r w:rsidR="007F243A" w:rsidRPr="0000071C">
          <w:rPr>
            <w:rFonts w:ascii="Times New Roman" w:eastAsia="Times New Roman" w:hAnsi="Times New Roman" w:cs="Times New Roman"/>
            <w:b/>
            <w:bCs/>
            <w:color w:val="1F497D" w:themeColor="text2"/>
            <w:sz w:val="24"/>
            <w:szCs w:val="24"/>
            <w:lang w:eastAsia="ru-RU"/>
          </w:rPr>
          <w:t xml:space="preserve">КРИТЕРІЇ ОЦІНЮВАННЯ НАВЧАЛЬНИХ ДОСЯГНЕНЬ </w:t>
        </w:r>
        <w:r w:rsidR="00DD469F">
          <w:rPr>
            <w:rFonts w:ascii="Times New Roman" w:eastAsia="Times New Roman" w:hAnsi="Times New Roman" w:cs="Times New Roman"/>
            <w:b/>
            <w:bCs/>
            <w:color w:val="1F497D" w:themeColor="text2"/>
            <w:sz w:val="24"/>
            <w:szCs w:val="24"/>
            <w:lang w:val="uk-UA" w:eastAsia="ru-RU"/>
          </w:rPr>
          <w:t xml:space="preserve">                                         </w:t>
        </w:r>
        <w:r w:rsidR="007F243A" w:rsidRPr="0000071C">
          <w:rPr>
            <w:rFonts w:ascii="Times New Roman" w:eastAsia="Times New Roman" w:hAnsi="Times New Roman" w:cs="Times New Roman"/>
            <w:b/>
            <w:bCs/>
            <w:color w:val="1F497D" w:themeColor="text2"/>
            <w:sz w:val="24"/>
            <w:szCs w:val="24"/>
            <w:lang w:eastAsia="ru-RU"/>
          </w:rPr>
          <w:t>УЧНІВ ПРИ РОЗВ'ЯЗУВАННІ ЗАДАЧ</w:t>
        </w:r>
      </w:hyperlink>
    </w:p>
    <w:p w:rsidR="005900B9" w:rsidRPr="0000071C" w:rsidRDefault="00A22E3D" w:rsidP="0000071C">
      <w:pPr>
        <w:shd w:val="clear" w:color="auto" w:fill="FFFFFF"/>
        <w:spacing w:before="150" w:after="18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Визначальним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показником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 </w:t>
      </w:r>
      <w:proofErr w:type="spellStart"/>
      <w:r w:rsidR="005900B9" w:rsidRPr="000007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оцінювання</w:t>
      </w:r>
      <w:proofErr w:type="spellEnd"/>
      <w:r w:rsidR="00DD46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5900B9" w:rsidRPr="000007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вміння</w:t>
      </w:r>
      <w:proofErr w:type="spellEnd"/>
      <w:r w:rsidR="00DD46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5900B9" w:rsidRPr="000007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розв'язувати</w:t>
      </w:r>
      <w:proofErr w:type="spellEnd"/>
      <w:r w:rsidR="00DD46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5900B9" w:rsidRPr="000007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задачі</w:t>
      </w:r>
      <w:proofErr w:type="spellEnd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є </w:t>
      </w:r>
      <w:proofErr w:type="spellStart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їх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складність</w:t>
      </w:r>
      <w:proofErr w:type="spellEnd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яка </w:t>
      </w:r>
      <w:proofErr w:type="spellStart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залежить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від</w:t>
      </w:r>
      <w:proofErr w:type="spellEnd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900B9" w:rsidRPr="0000071C" w:rsidRDefault="005900B9" w:rsidP="0000071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1)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кількості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правильних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послідовних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логічних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кроків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операцій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здійснюваних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учнем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такими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кроками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можна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вважати</w:t>
      </w:r>
      <w:proofErr w:type="spellEnd"/>
      <w:r w:rsidR="00DD469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вміння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здатність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):</w:t>
      </w:r>
    </w:p>
    <w:p w:rsidR="005900B9" w:rsidRPr="0000071C" w:rsidRDefault="0000071C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свідомити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умову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задачі</w:t>
      </w:r>
      <w:proofErr w:type="spellEnd"/>
      <w:r w:rsidR="005900B9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записатиїї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скороченому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вигляді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зробити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схему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малюнок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(за потреби);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виявити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яких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даних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вистачає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умові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задачі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та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знайти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їх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таблицях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довідниках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виразити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всі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необхідні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розв'язку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величини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одиницях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СІ;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скласти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(у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простих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випадках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обрати) формулу для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знаходження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шуканої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величини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виконати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математич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дії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й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операції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здійснити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обчислення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числових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значень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невідомих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величин;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аналізувати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і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будувати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графіки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користуватися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методом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розмінностей</w:t>
      </w:r>
      <w:proofErr w:type="spellEnd"/>
      <w:r w:rsidR="0000071C"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перевірки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правильності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розв'язку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задачі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оцінити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одержаний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результат та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його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реальність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900B9" w:rsidRPr="0000071C" w:rsidRDefault="005900B9" w:rsidP="0000071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2)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раціональності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обраного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способу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розв'язування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900B9" w:rsidRPr="0000071C" w:rsidRDefault="005900B9" w:rsidP="0000071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3) типу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завдання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(з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одної</w:t>
      </w:r>
      <w:proofErr w:type="spellEnd"/>
      <w:r w:rsid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різних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тем (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комбінованого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), типового (за алгоритмом)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нестандартного).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5900B9" w:rsidRPr="0000071C" w:rsidTr="005900B9"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Початковийрівень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(1‑3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уміє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розрізняти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фізичні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астрономічні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вимірювання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певної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теми,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розв'язувати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лише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навідтворення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формул;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найпростіші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математичні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</w:p>
        </w:tc>
      </w:tr>
      <w:tr w:rsidR="005900B9" w:rsidRPr="0000071C" w:rsidTr="005900B9"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Середнійрівень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(4‑6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розв'язує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прості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зразком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обґрунтувати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деякі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логічні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кроки з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</w:tc>
      </w:tr>
      <w:tr w:rsidR="005900B9" w:rsidRPr="0000071C" w:rsidTr="005900B9"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Достатнійрівень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(7‑ 9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розв'язує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одної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теми,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обґрунтовуючи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обраний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розв'язку</w:t>
            </w:r>
            <w:proofErr w:type="spellEnd"/>
          </w:p>
        </w:tc>
      </w:tr>
      <w:tr w:rsidR="005900B9" w:rsidRPr="0000071C" w:rsidTr="005900B9"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Високийрівень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(10‑ 12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5900B9" w:rsidRPr="0000071C" w:rsidRDefault="005900B9" w:rsidP="0000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розв'язує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комбіновані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стандартним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оригінальним</w:t>
            </w:r>
            <w:proofErr w:type="spellEnd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способом,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розв'язує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нестандартні</w:t>
            </w:r>
            <w:proofErr w:type="spellEnd"/>
            <w:r w:rsidR="000007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</w:p>
        </w:tc>
      </w:tr>
    </w:tbl>
    <w:p w:rsidR="005900B9" w:rsidRPr="0000071C" w:rsidRDefault="005900B9" w:rsidP="000649F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7A16" w:rsidRPr="0000071C" w:rsidRDefault="00FF15B0" w:rsidP="000649FA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</w:pPr>
      <w:r w:rsidRPr="0000071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КРИТЕРІЇ ОЦІНЮВАННЯ НАВЧАЛЬНИХ ДОСЯГНЕНЬ УЧНІВ ПРИ ВИКОНАННІ ЛАБОРАТОРНИХ І ПРАКТИЧНИХ РОБІТ</w:t>
      </w:r>
    </w:p>
    <w:p w:rsidR="00677A16" w:rsidRPr="0000071C" w:rsidRDefault="00677A16" w:rsidP="0000071C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</w:pP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>При оцінюванні рівня володіння учнями практичними вміннями та навичками</w:t>
      </w: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під час виконання фронтальних лабораторних робіт, експериментальних задач, робіт фізичного практикуму враховуються знання алгоритмів спостереження, етапів проведення дослідження (планування дослідів чи спостережень, збирання установки за схемою; проведення дослідження, знімання показників з приладів), оформлення результатів дослідження - складання таблиць, побудова графіків тощо; обчислювання похибок вимірювання (за потребою), обґрунтування висновків проведеного експерименту чи спостереження.</w:t>
      </w:r>
    </w:p>
    <w:p w:rsidR="00677A16" w:rsidRPr="0000071C" w:rsidRDefault="00677A16" w:rsidP="0000071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Рівніскладності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лабораторних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робіт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можуть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задаватися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77A16" w:rsidRPr="0000071C" w:rsidRDefault="00677A16" w:rsidP="0000071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через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зміст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кількість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додаткових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завдань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і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запитань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відповідно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теми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роботи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77A16" w:rsidRPr="0000071C" w:rsidRDefault="00677A16" w:rsidP="0000071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через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різний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рівень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самостійності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виконання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роботи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(при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постійнійдопомозівчителя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виконання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зразком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докладною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скороченою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інструкцією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без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інструкції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677A16" w:rsidRPr="0000071C" w:rsidRDefault="00677A16" w:rsidP="0000071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організацією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нестандартних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ситуацій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формулювання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учнем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мети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роботи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складання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ним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особистого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плану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роботи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обґрунтуванняйого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визначення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приладів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матеріалів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потрібних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її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виконання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самостійне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виконання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роботи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оцінка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її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результатів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677A16" w:rsidRPr="0000071C" w:rsidRDefault="00677A16" w:rsidP="0000071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Обов'язковим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оцінюванні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є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врахування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дотримання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учнями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техніки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безпеки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під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час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виконання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фронтальних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лабораторних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робіт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робіт</w:t>
      </w:r>
      <w:proofErr w:type="spellEnd"/>
      <w:r w:rsidR="000649FA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фізичного</w:t>
      </w:r>
      <w:proofErr w:type="spellEnd"/>
      <w:r w:rsidRPr="000007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практикуму.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94"/>
        <w:gridCol w:w="4834"/>
      </w:tblGrid>
      <w:tr w:rsidR="00677A16" w:rsidRPr="0000071C" w:rsidTr="00677A16"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Початковий</w:t>
            </w:r>
            <w:proofErr w:type="spellEnd"/>
            <w:r w:rsidR="001945CF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рівень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(1</w:t>
            </w:r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noBreakHyphen/>
              <w:t xml:space="preserve">3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бали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називає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прилади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демонструє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вміння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користуватися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окремими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 них,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може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скласти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схему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досліду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лише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допомогою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вчителя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виконує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частину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без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належного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оформлення</w:t>
            </w:r>
            <w:proofErr w:type="spellEnd"/>
          </w:p>
        </w:tc>
      </w:tr>
      <w:tr w:rsidR="00677A16" w:rsidRPr="0000071C" w:rsidTr="00677A16"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Середній</w:t>
            </w:r>
            <w:proofErr w:type="spellEnd"/>
            <w:r w:rsidR="001945CF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рівень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(4</w:t>
            </w:r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noBreakHyphen/>
              <w:t xml:space="preserve"> 6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балів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виконує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роботу за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зразком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інструкцією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допомогою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вчителя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результат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учня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можливість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зробити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правильні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висновки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частину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під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час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оформлення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допущені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помилки</w:t>
            </w:r>
            <w:proofErr w:type="spellEnd"/>
          </w:p>
        </w:tc>
      </w:tr>
      <w:tr w:rsidR="00677A16" w:rsidRPr="0000071C" w:rsidTr="00677A16"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Достатній</w:t>
            </w:r>
            <w:proofErr w:type="spellEnd"/>
            <w:r w:rsidR="001945CF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рівень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(7</w:t>
            </w:r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noBreakHyphen/>
              <w:t xml:space="preserve"> 9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балів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самостійно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монтує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необхідне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виконує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роботу в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повному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обсязі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дотриманням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необхідної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послідовності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дослідів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вимірювань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У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звіті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правильно й</w:t>
            </w:r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аккуратно</w:t>
            </w:r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виконує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записи,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таблиці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схеми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графіки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розрахунки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самостійно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робить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висновок</w:t>
            </w:r>
            <w:proofErr w:type="spellEnd"/>
          </w:p>
        </w:tc>
      </w:tr>
      <w:tr w:rsidR="00677A16" w:rsidRPr="0000071C" w:rsidTr="00677A16"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Високий</w:t>
            </w:r>
            <w:proofErr w:type="spellEnd"/>
            <w:r w:rsidR="001945CF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рівень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(10</w:t>
            </w:r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noBreakHyphen/>
              <w:t xml:space="preserve">12 </w:t>
            </w:r>
            <w:proofErr w:type="spellStart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балів</w:t>
            </w:r>
            <w:proofErr w:type="spellEnd"/>
            <w:r w:rsidRPr="0000071C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927" w:type="dxa"/>
          </w:tcPr>
          <w:p w:rsidR="00677A16" w:rsidRPr="0000071C" w:rsidRDefault="00677A16" w:rsidP="0000071C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Учень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учениця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виконує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всі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вимоги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передбачені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достатнього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рівня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визначає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характеристики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приладів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і установок,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здійснює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грамотну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обробку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результатів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розраховує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похибки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потребує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завдання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аналізує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обґрунтовує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отримані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висновки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дослідження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тлумачить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похибки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проведеного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експерименту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спостереження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Більш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високим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рівнем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вважається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самостійно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складеним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оригінальним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планом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установкою</w:t>
            </w:r>
            <w:proofErr w:type="spellEnd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007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обґрунтування</w:t>
            </w:r>
            <w:proofErr w:type="spellEnd"/>
          </w:p>
        </w:tc>
      </w:tr>
    </w:tbl>
    <w:p w:rsidR="005900B9" w:rsidRPr="00677A16" w:rsidRDefault="005900B9" w:rsidP="005900B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</w:p>
    <w:sectPr w:rsidR="005900B9" w:rsidRPr="00677A16" w:rsidSect="00E043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41FA"/>
    <w:multiLevelType w:val="multilevel"/>
    <w:tmpl w:val="B5D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134EA3"/>
    <w:multiLevelType w:val="multilevel"/>
    <w:tmpl w:val="267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82"/>
    <w:rsid w:val="0000071C"/>
    <w:rsid w:val="000649FA"/>
    <w:rsid w:val="00127B82"/>
    <w:rsid w:val="001945CF"/>
    <w:rsid w:val="005540C0"/>
    <w:rsid w:val="005900B9"/>
    <w:rsid w:val="00677A16"/>
    <w:rsid w:val="007F243A"/>
    <w:rsid w:val="008577C4"/>
    <w:rsid w:val="00A22E3D"/>
    <w:rsid w:val="00AE0FEA"/>
    <w:rsid w:val="00BE1815"/>
    <w:rsid w:val="00C97E76"/>
    <w:rsid w:val="00CA234B"/>
    <w:rsid w:val="00DD469F"/>
    <w:rsid w:val="00E04331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AD0E1-F542-492A-B563-35C675F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04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4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E0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CA234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CA23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CA23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0">
    <w:name w:val="Light List Accent 4"/>
    <w:basedOn w:val="a1"/>
    <w:uiPriority w:val="61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0">
    <w:name w:val="Light List Accent 1"/>
    <w:basedOn w:val="a1"/>
    <w:uiPriority w:val="61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1">
    <w:name w:val="Light Grid Accent 5"/>
    <w:basedOn w:val="a1"/>
    <w:uiPriority w:val="62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A2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CA2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41">
    <w:name w:val="Colorful Shading Accent 4"/>
    <w:basedOn w:val="a1"/>
    <w:uiPriority w:val="71"/>
    <w:rsid w:val="00CA2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1"/>
    <w:uiPriority w:val="71"/>
    <w:rsid w:val="00CA2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0">
    <w:name w:val="Dark List Accent 3"/>
    <w:basedOn w:val="a1"/>
    <w:uiPriority w:val="70"/>
    <w:rsid w:val="00CA2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31">
    <w:name w:val="Colorful Grid Accent 3"/>
    <w:basedOn w:val="a1"/>
    <w:uiPriority w:val="73"/>
    <w:rsid w:val="00CA2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1">
    <w:name w:val="Dark List Accent 1"/>
    <w:basedOn w:val="a1"/>
    <w:uiPriority w:val="70"/>
    <w:rsid w:val="00CA2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52">
    <w:name w:val="Dark List Accent 5"/>
    <w:basedOn w:val="a1"/>
    <w:uiPriority w:val="70"/>
    <w:rsid w:val="00CA2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2">
    <w:name w:val="Medium Grid 3 Accent 2"/>
    <w:basedOn w:val="a1"/>
    <w:uiPriority w:val="69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A2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a6">
    <w:name w:val="Strong"/>
    <w:basedOn w:val="a0"/>
    <w:uiPriority w:val="22"/>
    <w:qFormat/>
    <w:rsid w:val="00677A16"/>
    <w:rPr>
      <w:b/>
      <w:bCs/>
    </w:rPr>
  </w:style>
  <w:style w:type="table" w:styleId="-32">
    <w:name w:val="Light Shading Accent 3"/>
    <w:basedOn w:val="a1"/>
    <w:uiPriority w:val="60"/>
    <w:rsid w:val="00677A1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677A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4">
    <w:name w:val="Medium Shading 1 Accent 4"/>
    <w:basedOn w:val="a1"/>
    <w:uiPriority w:val="63"/>
    <w:rsid w:val="00677A1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OXlPbxsP-o6cI9dX7JHBCu6AzpMGpI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2</cp:revision>
  <dcterms:created xsi:type="dcterms:W3CDTF">2025-12-02T07:14:00Z</dcterms:created>
  <dcterms:modified xsi:type="dcterms:W3CDTF">2025-12-02T07:14:00Z</dcterms:modified>
</cp:coreProperties>
</file>